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E27" w:rsidRPr="00021E27" w:rsidTr="003201FC">
        <w:tc>
          <w:tcPr>
            <w:tcW w:w="290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INGLES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11°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PRIMER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207"/>
        <w:gridCol w:w="3046"/>
        <w:gridCol w:w="2763"/>
        <w:gridCol w:w="1433"/>
        <w:gridCol w:w="4292"/>
      </w:tblGrid>
      <w:tr w:rsidR="00021E27" w:rsidRPr="00021E27" w:rsidTr="003201FC"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53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196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9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253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información específica de un tema de interés en un texto oral y/o escrito.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Expresa oralmente puntos de vista sobre temas de interés.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196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Sustaninability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Actions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92" w:type="dxa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Future tense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Conditionals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Present and past tense 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Vocabulary of objectives of the UN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Coonectors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of cause and effect.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Preparacion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Prueba Saber (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part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1-part 4).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531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Entiendo instrucciones para ejecutar acciones cotidianas.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el punto de vista del autor.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Estructuro mis textos teniendo en cuenta elementos formales del lenguaje como la puntuación, la ortografía, la sintaxis, la coherencia y la cohesión.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Hago presentaciones orales sobre temas de mi interés y relacionados con el currículo escolar.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Participo espontáneamente en conversaciones sobre temas de mi interés utilizando un lenguaje claro y sencillo.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53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531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Identifica el propósito de textos orales y escritos de mediana longitud relacionados con temas de interés general y de su entorno académico y la comparte con otros.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Explica tanto en forma oral como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escrita las causas y los efectos, así como el problema y la solución de una situación.</w:t>
            </w:r>
          </w:p>
        </w:tc>
        <w:tc>
          <w:tcPr>
            <w:tcW w:w="4253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92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738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9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25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738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21E27">
              <w:rPr>
                <w:rFonts w:cstheme="minorHAnsi"/>
                <w:sz w:val="24"/>
                <w:szCs w:val="24"/>
                <w:lang w:val="es-CO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9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725" w:type="dxa"/>
            <w:gridSpan w:val="2"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272" w:type="dxa"/>
            <w:gridSpan w:val="6"/>
          </w:tcPr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Distingue puntos de vista y expresiones que indican ventajas y desventajas sobre temas de interés.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de diferentes tipos de textos sobre servicios de salud basados en categorías definida y un formato provisto.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Services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Present, Past And Future Simple Tense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Present and past continuous tense.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to present advantages and disadvantages.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Preparacion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Prueba Saber (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s-CO"/>
              </w:rPr>
              <w:t>part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s-CO"/>
              </w:rPr>
              <w:t xml:space="preserve"> 5-part 7).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Respondo preguntas teniendo en cuenta a mi interlocutor y el contexto.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 vocabulario apropiado para expresar mis ideas con claridad sobre temas del currículo y de mi interés.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Planeo, reviso y edito mis escritos con la ayuda de mis compañeros y del profesor.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la idea principal de un texto oral cuando tengo conocimiento previo del tema.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el punto de vista del autor.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Identifica el propósito de textos orales y escritos de mediana longitud relacionados con temas de interés general y de su entorno académico y la comparte con otros.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Redacta textos argumentativos con una estructura clara y sencilla sobre temas académicos.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TERCER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Distingue expresiones relacionadas con los valores sociales.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Expresa de manera oral y clara los derechos como ciudadanos. 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reconciliation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Social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value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Citizen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participation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Third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Adverbs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intensifiers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ordinal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conectores en una situación de habla para comprender su sentido.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Valoro la lectura como un medio para adquirir información de diferentes disciplinas que amplían mi conocimiento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diferentes tipos de textos de mediana longitud y con una estructura sencilla (cartas, notas, mensajes, correos electrónicos, etc.).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Opino sobre los estilos de vida de la gente de otras culturas, apoyándome en textos escritos y orales previamente estudiados. 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Expresa de manera oral y escrita su posición acerca de un tema conocido teniendo en cuenta </w:t>
            </w:r>
            <w:proofErr w:type="gramStart"/>
            <w:r w:rsidRPr="00021E27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021E27">
              <w:rPr>
                <w:rFonts w:cstheme="minorHAnsi"/>
                <w:sz w:val="24"/>
                <w:szCs w:val="24"/>
              </w:rPr>
              <w:t xml:space="preserve"> quién está dirigido el texto.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Expresa de manera oral su punto de vista acerca de un tema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controversial previamente estudiado.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51"/>
        <w:gridCol w:w="2876"/>
        <w:gridCol w:w="2879"/>
        <w:gridCol w:w="1434"/>
        <w:gridCol w:w="4317"/>
      </w:tblGrid>
      <w:tr w:rsidR="00021E27" w:rsidRPr="00021E27" w:rsidTr="003201FC"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827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7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270893" w:rsidTr="003201FC">
        <w:trPr>
          <w:trHeight w:val="176"/>
        </w:trPr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3827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Diferencia la estructura de condicionales reales y no reales. 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clave de diferentes fuentes sobre temas de interés general. </w:t>
            </w:r>
          </w:p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technology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privacy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7" w:type="dxa"/>
            <w:vMerge w:val="restart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Third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sequence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Social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networks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for rules on etiquette</w:t>
            </w:r>
          </w:p>
        </w:tc>
      </w:tr>
      <w:tr w:rsidR="00021E27" w:rsidRPr="00021E27" w:rsidTr="003201FC">
        <w:trPr>
          <w:trHeight w:val="142"/>
        </w:trPr>
        <w:tc>
          <w:tcPr>
            <w:tcW w:w="4815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estrategias adecuadas al propósito y al tipo de texto (activación de conocimientos previos, apoyo en el lenguaje corporal y gestual, uso de imágenes) para comprender lo que escucho.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Identifico conectores en una situación de habla para comprender su sentido.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lenguaje funcional para discutir alternativas, hacer recomendaciones y negociar acuerdos en debates preparados con anterioridad.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textos expositivos sobre temas de mi interés.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815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815" w:type="dxa"/>
          </w:tcPr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Mantiene discusiones formales acerca de temas académicos que ha preparado previamente.</w:t>
            </w:r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Narra de manera oral o escrita experiencias personales o historias conocidas.</w:t>
            </w:r>
          </w:p>
        </w:tc>
        <w:tc>
          <w:tcPr>
            <w:tcW w:w="3827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021E27" w:rsidRPr="00021E27" w:rsidRDefault="00021E27" w:rsidP="0027089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7" w:type="dxa"/>
            <w:vMerge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5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766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expondrá la clase en tres momentos. El antes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755" w:type="dxa"/>
            <w:gridSpan w:val="2"/>
          </w:tcPr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27089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751" w:type="dxa"/>
            <w:gridSpan w:val="2"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Computador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</w:tc>
      </w:tr>
      <w:tr w:rsidR="00021E27" w:rsidRPr="00021E27" w:rsidTr="003201FC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21E27" w:rsidRPr="00021E27" w:rsidRDefault="003201FC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21E27" w:rsidRPr="00021E27" w:rsidTr="003201FC">
        <w:trPr>
          <w:trHeight w:val="197"/>
        </w:trPr>
        <w:tc>
          <w:tcPr>
            <w:tcW w:w="17272" w:type="dxa"/>
            <w:gridSpan w:val="6"/>
          </w:tcPr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4608D2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27089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270893" w:rsidRDefault="00270893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21E27" w:rsidRPr="00021E27" w:rsidTr="003201FC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</w:tcPr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información esencial en textos orales y escritos. 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Clasifica información clave en textos orales y escritos, para proponer estrategias que contribuyan al respeto de los ciudadanos. </w:t>
            </w:r>
          </w:p>
          <w:p w:rsidR="00021E27" w:rsidRPr="00021E27" w:rsidRDefault="00021E27" w:rsidP="0027089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716DA3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E27" w:rsidRPr="00716DA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D2" w:rsidRDefault="004608D2">
      <w:pPr>
        <w:spacing w:after="0" w:line="240" w:lineRule="auto"/>
      </w:pPr>
      <w:r>
        <w:separator/>
      </w:r>
    </w:p>
  </w:endnote>
  <w:endnote w:type="continuationSeparator" w:id="0">
    <w:p w:rsidR="004608D2" w:rsidRDefault="0046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D2" w:rsidRDefault="004608D2">
      <w:pPr>
        <w:spacing w:after="0" w:line="240" w:lineRule="auto"/>
      </w:pPr>
      <w:r>
        <w:separator/>
      </w:r>
    </w:p>
  </w:footnote>
  <w:footnote w:type="continuationSeparator" w:id="0">
    <w:p w:rsidR="004608D2" w:rsidRDefault="0046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70893"/>
    <w:rsid w:val="00291893"/>
    <w:rsid w:val="002B3B45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608D2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7E7229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02C9D"/>
    <w:rsid w:val="00C54EDB"/>
    <w:rsid w:val="00C73340"/>
    <w:rsid w:val="00C978E3"/>
    <w:rsid w:val="00CD0461"/>
    <w:rsid w:val="00CD5BDE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1989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9</cp:revision>
  <dcterms:created xsi:type="dcterms:W3CDTF">2018-02-07T02:47:00Z</dcterms:created>
  <dcterms:modified xsi:type="dcterms:W3CDTF">2018-02-12T12:34:00Z</dcterms:modified>
</cp:coreProperties>
</file>